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C3" w:rsidRDefault="00E964C3" w:rsidP="00E964C3">
      <w:pPr>
        <w:ind w:leftChars="-59" w:left="-16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附件五：大學四年制進修部課程規劃表</w:t>
      </w:r>
    </w:p>
    <w:p w:rsidR="00E964C3" w:rsidRPr="00636C6B" w:rsidRDefault="00E964C3" w:rsidP="00E964C3">
      <w:pPr>
        <w:snapToGrid w:val="0"/>
        <w:jc w:val="center"/>
        <w:rPr>
          <w:rFonts w:ascii="標楷體" w:eastAsia="標楷體" w:hAnsi="標楷體"/>
          <w:color w:val="000000"/>
        </w:rPr>
      </w:pPr>
      <w:r w:rsidRPr="00133F22">
        <w:rPr>
          <w:rFonts w:eastAsia="標楷體" w:hint="eastAsia"/>
          <w:color w:val="000000"/>
          <w:sz w:val="40"/>
          <w:szCs w:val="20"/>
        </w:rPr>
        <w:t>國立屏東科技大學</w:t>
      </w:r>
      <w:r w:rsidRPr="00133F22">
        <w:rPr>
          <w:rFonts w:eastAsia="標楷體"/>
          <w:color w:val="000000"/>
          <w:sz w:val="40"/>
          <w:szCs w:val="20"/>
        </w:rPr>
        <w:t xml:space="preserve"> </w:t>
      </w:r>
      <w:r w:rsidRPr="00133F22">
        <w:rPr>
          <w:rFonts w:eastAsia="標楷體" w:hint="eastAsia"/>
          <w:b/>
          <w:color w:val="000000"/>
          <w:sz w:val="40"/>
          <w:szCs w:val="20"/>
          <w:u w:val="single"/>
        </w:rPr>
        <w:t>社會工作系</w:t>
      </w:r>
      <w:r w:rsidRPr="00133F22">
        <w:rPr>
          <w:rFonts w:eastAsia="標楷體"/>
          <w:color w:val="000000"/>
          <w:sz w:val="40"/>
          <w:szCs w:val="20"/>
        </w:rPr>
        <w:t xml:space="preserve"> </w:t>
      </w:r>
      <w:r w:rsidRPr="00133F22">
        <w:rPr>
          <w:rFonts w:eastAsia="標楷體" w:hint="eastAsia"/>
          <w:color w:val="000000"/>
          <w:sz w:val="40"/>
          <w:szCs w:val="20"/>
        </w:rPr>
        <w:t>四年制進修部課程規劃表</w:t>
      </w:r>
      <w:r w:rsidRPr="005C6EAB">
        <w:rPr>
          <w:rFonts w:ascii="標楷體" w:eastAsia="標楷體" w:hAnsi="標楷體" w:cs="Calibri"/>
          <w:b/>
        </w:rPr>
        <w:t>(</w:t>
      </w:r>
      <w:r w:rsidRPr="005C6EAB">
        <w:rPr>
          <w:rFonts w:ascii="標楷體" w:eastAsia="標楷體" w:hAnsi="標楷體" w:cs="Calibri" w:hint="eastAsia"/>
          <w:b/>
        </w:rPr>
        <w:t>111</w:t>
      </w:r>
      <w:r w:rsidRPr="005C6EAB">
        <w:rPr>
          <w:rFonts w:ascii="標楷體" w:eastAsia="標楷體" w:hAnsi="標楷體" w:cs="Calibri"/>
          <w:b/>
        </w:rPr>
        <w:t>-11</w:t>
      </w:r>
      <w:r w:rsidRPr="005C6EAB">
        <w:rPr>
          <w:rFonts w:ascii="標楷體" w:eastAsia="標楷體" w:hAnsi="標楷體" w:cs="Calibri" w:hint="eastAsia"/>
          <w:b/>
        </w:rPr>
        <w:t>4學年度</w:t>
      </w:r>
      <w:r w:rsidRPr="005C6EAB">
        <w:rPr>
          <w:rFonts w:ascii="標楷體" w:eastAsia="標楷體" w:hAnsi="標楷體" w:cs="Calibri"/>
          <w:b/>
        </w:rPr>
        <w:t>)</w:t>
      </w:r>
      <w:r w:rsidRPr="005C6EAB">
        <w:rPr>
          <w:rFonts w:ascii="標楷體" w:eastAsia="標楷體" w:hAnsi="標楷體" w:cs="Calibri" w:hint="eastAsia"/>
          <w:b/>
        </w:rPr>
        <w:t xml:space="preserve"> </w:t>
      </w:r>
    </w:p>
    <w:p w:rsidR="00E964C3" w:rsidRPr="00636C6B" w:rsidRDefault="00E964C3" w:rsidP="00E964C3">
      <w:pPr>
        <w:snapToGrid w:val="0"/>
        <w:jc w:val="center"/>
        <w:rPr>
          <w:rFonts w:eastAsia="標楷體"/>
          <w:color w:val="000000"/>
          <w:sz w:val="18"/>
          <w:szCs w:val="18"/>
        </w:rPr>
      </w:pPr>
    </w:p>
    <w:tbl>
      <w:tblPr>
        <w:tblW w:w="15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01"/>
        <w:gridCol w:w="840"/>
        <w:gridCol w:w="2737"/>
        <w:gridCol w:w="851"/>
        <w:gridCol w:w="2461"/>
        <w:gridCol w:w="799"/>
        <w:gridCol w:w="2782"/>
        <w:gridCol w:w="1006"/>
      </w:tblGrid>
      <w:tr w:rsidR="00E964C3" w:rsidRPr="00B502B4" w:rsidTr="00F16652">
        <w:trPr>
          <w:trHeight w:val="190"/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學年</w:t>
            </w:r>
          </w:p>
        </w:tc>
        <w:tc>
          <w:tcPr>
            <w:tcW w:w="7229" w:type="dxa"/>
            <w:gridSpan w:val="4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第一學年</w:t>
            </w:r>
          </w:p>
        </w:tc>
        <w:tc>
          <w:tcPr>
            <w:tcW w:w="7048" w:type="dxa"/>
            <w:gridSpan w:val="4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第二學年</w:t>
            </w:r>
          </w:p>
        </w:tc>
      </w:tr>
      <w:tr w:rsidR="00E964C3" w:rsidRPr="00B502B4" w:rsidTr="00F16652">
        <w:trPr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學期</w:t>
            </w:r>
          </w:p>
        </w:tc>
        <w:tc>
          <w:tcPr>
            <w:tcW w:w="3641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第一學期</w:t>
            </w:r>
          </w:p>
        </w:tc>
        <w:tc>
          <w:tcPr>
            <w:tcW w:w="3588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第二學期</w:t>
            </w:r>
          </w:p>
        </w:tc>
        <w:tc>
          <w:tcPr>
            <w:tcW w:w="3260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第一學期</w:t>
            </w:r>
          </w:p>
        </w:tc>
        <w:tc>
          <w:tcPr>
            <w:tcW w:w="3788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第二學期</w:t>
            </w:r>
          </w:p>
        </w:tc>
      </w:tr>
      <w:tr w:rsidR="00E964C3" w:rsidRPr="00B502B4" w:rsidTr="00F16652">
        <w:trPr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修別</w:t>
            </w:r>
          </w:p>
        </w:tc>
        <w:tc>
          <w:tcPr>
            <w:tcW w:w="280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84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  <w:tc>
          <w:tcPr>
            <w:tcW w:w="2737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85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  <w:tc>
          <w:tcPr>
            <w:tcW w:w="246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799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  <w:tc>
          <w:tcPr>
            <w:tcW w:w="2782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1006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eastAsia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eastAsia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</w:tr>
      <w:tr w:rsidR="00E964C3" w:rsidRPr="00CA6852" w:rsidTr="00F16652">
        <w:trPr>
          <w:trHeight w:val="3438"/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adjustRightInd w:val="0"/>
              <w:spacing w:line="720" w:lineRule="auto"/>
              <w:ind w:left="28"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必</w:t>
            </w:r>
          </w:p>
          <w:p w:rsidR="00E964C3" w:rsidRPr="00FF70CF" w:rsidRDefault="00E964C3" w:rsidP="00F16652">
            <w:pPr>
              <w:adjustRightInd w:val="0"/>
              <w:spacing w:line="720" w:lineRule="auto"/>
              <w:ind w:left="28"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720" w:lineRule="auto"/>
              <w:ind w:left="28"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修</w:t>
            </w:r>
          </w:p>
        </w:tc>
        <w:tc>
          <w:tcPr>
            <w:tcW w:w="2801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通識選項課程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國文</w:t>
            </w:r>
            <w:r w:rsidRPr="00FF70CF">
              <w:rPr>
                <w:rFonts w:ascii="標楷體" w:eastAsia="標楷體" w:hAnsi="標楷體" w:hint="eastAsia"/>
                <w:sz w:val="26"/>
                <w:szCs w:val="26"/>
              </w:rPr>
              <w:t>（閱讀與寫作）</w:t>
            </w:r>
            <w:r w:rsidRPr="00FF70CF">
              <w:rPr>
                <w:rFonts w:ascii="標楷體" w:eastAsia="標楷體" w:hAnsi="標楷體"/>
                <w:sz w:val="26"/>
                <w:szCs w:val="26"/>
              </w:rPr>
              <w:t>(1)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大一英文</w:t>
            </w: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英語聽講練習</w:t>
            </w: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101</w:t>
            </w: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大一體育</w:t>
            </w: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外語實務</w:t>
            </w:r>
            <w:r w:rsidRPr="00605820">
              <w:rPr>
                <w:rFonts w:ascii="標楷體" w:eastAsia="標楷體" w:hAnsi="標楷體"/>
                <w:color w:val="000000"/>
              </w:rPr>
              <w:t>(</w:t>
            </w:r>
            <w:r w:rsidRPr="00605820">
              <w:rPr>
                <w:rFonts w:ascii="標楷體" w:eastAsia="標楷體" w:hAnsi="標楷體" w:hint="eastAsia"/>
                <w:color w:val="000000"/>
              </w:rPr>
              <w:t>註</w:t>
            </w:r>
            <w:r w:rsidRPr="00605820">
              <w:rPr>
                <w:rFonts w:ascii="標楷體" w:eastAsia="標楷體" w:hAnsi="標楷體"/>
                <w:color w:val="000000"/>
              </w:rPr>
              <w:t>2)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心理學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社會工作概論</w:t>
            </w:r>
          </w:p>
        </w:tc>
        <w:tc>
          <w:tcPr>
            <w:tcW w:w="840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37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通識選項課程</w:t>
            </w:r>
          </w:p>
          <w:p w:rsidR="00E964C3" w:rsidRPr="00FF70CF" w:rsidRDefault="00E964C3" w:rsidP="00F16652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國文</w:t>
            </w:r>
            <w:r w:rsidRPr="00FF70CF">
              <w:rPr>
                <w:rFonts w:ascii="標楷體" w:eastAsia="標楷體" w:hAnsi="標楷體" w:hint="eastAsia"/>
                <w:sz w:val="26"/>
                <w:szCs w:val="26"/>
              </w:rPr>
              <w:t>（閱讀與寫作）</w:t>
            </w:r>
            <w:r w:rsidRPr="00FF70CF">
              <w:rPr>
                <w:rFonts w:ascii="標楷體" w:eastAsia="標楷體" w:hAnsi="標楷體"/>
                <w:sz w:val="26"/>
                <w:szCs w:val="26"/>
              </w:rPr>
              <w:t>(2)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大一英文</w:t>
            </w: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(2)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英語聽講練習</w:t>
            </w: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102</w:t>
            </w: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大一體育</w:t>
            </w: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(2)</w:t>
            </w: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社會學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社會個案工作</w:t>
            </w:r>
          </w:p>
        </w:tc>
        <w:tc>
          <w:tcPr>
            <w:tcW w:w="851" w:type="dxa"/>
          </w:tcPr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  <w:p w:rsidR="00E964C3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  <w:p w:rsidR="00E964C3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1" w:type="dxa"/>
          </w:tcPr>
          <w:p w:rsidR="00E964C3" w:rsidRDefault="00E964C3" w:rsidP="00F16652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通識選項課程</w:t>
            </w:r>
          </w:p>
          <w:p w:rsidR="00E964C3" w:rsidRPr="005C6EAB" w:rsidRDefault="00E964C3" w:rsidP="00F16652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5C6EAB">
              <w:rPr>
                <w:rFonts w:eastAsia="標楷體" w:hAnsi="標楷體" w:hint="eastAsia"/>
                <w:sz w:val="26"/>
                <w:szCs w:val="26"/>
              </w:rPr>
              <w:t>通識教育講座</w:t>
            </w:r>
          </w:p>
          <w:p w:rsidR="00E964C3" w:rsidRPr="005C6EAB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5C6EAB">
              <w:rPr>
                <w:rFonts w:ascii="標楷體" w:eastAsia="標楷體" w:hAnsi="標楷體" w:hint="eastAsia"/>
                <w:sz w:val="26"/>
                <w:szCs w:val="26"/>
              </w:rPr>
              <w:t>憲法</w:t>
            </w:r>
          </w:p>
          <w:p w:rsidR="00E964C3" w:rsidRPr="00605820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2109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33CC"/>
                <w:sz w:val="20"/>
                <w:szCs w:val="20"/>
              </w:rPr>
            </w:pPr>
            <w:r w:rsidRPr="00F2109F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運算思維與資訊科技應用</w:t>
            </w:r>
            <w:r w:rsidRPr="00F2109F">
              <w:rPr>
                <w:rFonts w:ascii="標楷體" w:eastAsia="標楷體" w:hAnsi="標楷體" w:hint="eastAsia"/>
                <w:color w:val="0033CC"/>
                <w:sz w:val="20"/>
                <w:szCs w:val="20"/>
              </w:rPr>
              <w:t>（院）</w:t>
            </w:r>
          </w:p>
          <w:p w:rsidR="00E964C3" w:rsidRPr="00231080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社會心理學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社會團體工作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pacing w:val="-16"/>
                <w:sz w:val="26"/>
                <w:szCs w:val="26"/>
              </w:rPr>
              <w:t>人類行為與社會環境</w:t>
            </w:r>
          </w:p>
        </w:tc>
        <w:tc>
          <w:tcPr>
            <w:tcW w:w="799" w:type="dxa"/>
          </w:tcPr>
          <w:p w:rsidR="00E964C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C6EAB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1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82" w:type="dxa"/>
          </w:tcPr>
          <w:p w:rsidR="00E964C3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通識選項課程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社區工作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社會政策與社會立法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社會工作實習準備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社會統計</w:t>
            </w:r>
          </w:p>
        </w:tc>
        <w:tc>
          <w:tcPr>
            <w:tcW w:w="1006" w:type="dxa"/>
          </w:tcPr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</w:tr>
      <w:tr w:rsidR="00E964C3" w:rsidRPr="00CA6852" w:rsidTr="00F16652">
        <w:trPr>
          <w:trHeight w:val="524"/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小計</w:t>
            </w:r>
          </w:p>
        </w:tc>
        <w:tc>
          <w:tcPr>
            <w:tcW w:w="280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4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737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46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799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82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06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  <w:t>13</w:t>
            </w:r>
          </w:p>
        </w:tc>
      </w:tr>
      <w:tr w:rsidR="00E964C3" w:rsidRPr="00CA6852" w:rsidTr="00F16652">
        <w:trPr>
          <w:trHeight w:val="2470"/>
          <w:jc w:val="center"/>
        </w:trPr>
        <w:tc>
          <w:tcPr>
            <w:tcW w:w="900" w:type="dxa"/>
            <w:vAlign w:val="center"/>
          </w:tcPr>
          <w:p w:rsidR="00E964C3" w:rsidRDefault="00E964C3" w:rsidP="00F16652">
            <w:pPr>
              <w:adjustRightInd w:val="0"/>
              <w:spacing w:line="240" w:lineRule="atLeast"/>
              <w:ind w:left="28"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</w:t>
            </w:r>
          </w:p>
          <w:p w:rsidR="00E964C3" w:rsidRDefault="00E964C3" w:rsidP="00F16652">
            <w:pPr>
              <w:adjustRightInd w:val="0"/>
              <w:spacing w:line="240" w:lineRule="atLeast"/>
              <w:ind w:left="28"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業</w:t>
            </w:r>
          </w:p>
          <w:p w:rsidR="00E964C3" w:rsidRPr="00FF70CF" w:rsidRDefault="00E964C3" w:rsidP="00F16652">
            <w:pPr>
              <w:adjustRightInd w:val="0"/>
              <w:spacing w:line="240" w:lineRule="atLeast"/>
              <w:ind w:left="28"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選</w:t>
            </w:r>
          </w:p>
          <w:p w:rsidR="00E964C3" w:rsidRPr="00FF70CF" w:rsidRDefault="00E964C3" w:rsidP="00F16652">
            <w:pPr>
              <w:adjustRightInd w:val="0"/>
              <w:spacing w:line="240" w:lineRule="atLeast"/>
              <w:ind w:left="28"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修</w:t>
            </w:r>
          </w:p>
        </w:tc>
        <w:tc>
          <w:tcPr>
            <w:tcW w:w="2801" w:type="dxa"/>
          </w:tcPr>
          <w:p w:rsidR="00E964C3" w:rsidRPr="00FF70CF" w:rsidRDefault="00E964C3" w:rsidP="00F16652">
            <w:pPr>
              <w:adjustRightInd w:val="0"/>
              <w:spacing w:beforeLines="10" w:before="24"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志願服務與志工管理</w:t>
            </w:r>
          </w:p>
        </w:tc>
        <w:tc>
          <w:tcPr>
            <w:tcW w:w="840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37" w:type="dxa"/>
          </w:tcPr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行政法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家庭社會工作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社會問題</w:t>
            </w:r>
          </w:p>
          <w:p w:rsidR="00E964C3" w:rsidRPr="004204C2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社會工作實務</w:t>
            </w:r>
          </w:p>
        </w:tc>
        <w:tc>
          <w:tcPr>
            <w:tcW w:w="851" w:type="dxa"/>
          </w:tcPr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4204C2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1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兒童少年福利服務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司法社會工作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貧窮與社會救助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社會福利概論</w:t>
            </w:r>
          </w:p>
          <w:p w:rsidR="00E964C3" w:rsidRPr="004204C2" w:rsidRDefault="00E964C3" w:rsidP="00F16652">
            <w:pPr>
              <w:adjustRightInd w:val="0"/>
              <w:spacing w:line="280" w:lineRule="exact"/>
              <w:ind w:right="28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社會個案工作實務</w:t>
            </w:r>
          </w:p>
          <w:p w:rsidR="00E964C3" w:rsidRPr="00487F08" w:rsidRDefault="00E964C3" w:rsidP="00F16652">
            <w:pPr>
              <w:spacing w:line="300" w:lineRule="exact"/>
              <w:ind w:right="28"/>
              <w:rPr>
                <w:rFonts w:ascii="標楷體" w:eastAsia="標楷體" w:hAnsi="標楷體"/>
                <w:strike/>
                <w:sz w:val="26"/>
                <w:szCs w:val="26"/>
                <w:highlight w:val="yellow"/>
              </w:rPr>
            </w:pPr>
            <w:r w:rsidRPr="00487F08">
              <w:rPr>
                <w:rFonts w:ascii="標楷體" w:eastAsia="標楷體" w:hAnsi="標楷體" w:hint="eastAsia"/>
                <w:strike/>
                <w:sz w:val="26"/>
                <w:szCs w:val="26"/>
                <w:highlight w:val="yellow"/>
              </w:rPr>
              <w:t>性別與醫療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7F08">
              <w:rPr>
                <w:rFonts w:ascii="標楷體" w:eastAsia="標楷體" w:hAnsi="標楷體" w:hint="eastAsia"/>
                <w:strike/>
                <w:sz w:val="26"/>
                <w:szCs w:val="26"/>
                <w:highlight w:val="yellow"/>
              </w:rPr>
              <w:t>預防醫學</w:t>
            </w:r>
          </w:p>
        </w:tc>
        <w:tc>
          <w:tcPr>
            <w:tcW w:w="799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4204C2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487F08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strike/>
                <w:color w:val="000000"/>
                <w:sz w:val="26"/>
                <w:szCs w:val="26"/>
                <w:highlight w:val="yellow"/>
              </w:rPr>
            </w:pPr>
            <w:r w:rsidRPr="00487F08">
              <w:rPr>
                <w:rFonts w:ascii="標楷體" w:eastAsia="標楷體" w:hAnsi="標楷體"/>
                <w:strike/>
                <w:color w:val="000000"/>
                <w:sz w:val="26"/>
                <w:szCs w:val="26"/>
                <w:highlight w:val="yellow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7F08">
              <w:rPr>
                <w:rFonts w:ascii="標楷體" w:eastAsia="標楷體" w:hAnsi="標楷體"/>
                <w:strike/>
                <w:color w:val="000000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2782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兒童少年保護服務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婦女福利服務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學校社會工作</w:t>
            </w:r>
          </w:p>
          <w:p w:rsidR="00E964C3" w:rsidRPr="004204C2" w:rsidRDefault="00E964C3" w:rsidP="00F16652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社會團體工作實務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早期療育與社會工作</w:t>
            </w:r>
          </w:p>
        </w:tc>
        <w:tc>
          <w:tcPr>
            <w:tcW w:w="1006" w:type="dxa"/>
          </w:tcPr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dstrike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4204C2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dstrike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</w:tr>
      <w:tr w:rsidR="00E964C3" w:rsidRPr="00CA6852" w:rsidTr="00F16652">
        <w:trPr>
          <w:trHeight w:val="560"/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小計</w:t>
            </w:r>
          </w:p>
        </w:tc>
        <w:tc>
          <w:tcPr>
            <w:tcW w:w="280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4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737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FF70CF" w:rsidRDefault="004204C2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6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799" w:type="dxa"/>
            <w:vAlign w:val="center"/>
          </w:tcPr>
          <w:p w:rsidR="00E964C3" w:rsidRPr="00FF70CF" w:rsidRDefault="004204C2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4204C2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11</w:t>
            </w:r>
          </w:p>
        </w:tc>
        <w:tc>
          <w:tcPr>
            <w:tcW w:w="2782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06" w:type="dxa"/>
            <w:vAlign w:val="center"/>
          </w:tcPr>
          <w:p w:rsidR="00E964C3" w:rsidRPr="00FF70CF" w:rsidRDefault="004204C2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</w:tr>
    </w:tbl>
    <w:p w:rsidR="00E964C3" w:rsidRPr="00636C6B" w:rsidRDefault="00E964C3" w:rsidP="00E964C3">
      <w:pPr>
        <w:snapToGrid w:val="0"/>
        <w:jc w:val="center"/>
        <w:rPr>
          <w:rFonts w:ascii="標楷體" w:eastAsia="標楷體" w:hAnsi="標楷體"/>
          <w:color w:val="000000"/>
        </w:rPr>
      </w:pPr>
      <w:r w:rsidRPr="00CA6852">
        <w:rPr>
          <w:rFonts w:ascii="標楷體" w:eastAsia="標楷體" w:hAnsi="標楷體"/>
          <w:color w:val="000000"/>
        </w:rPr>
        <w:br w:type="page"/>
      </w:r>
      <w:r w:rsidRPr="00CA6852">
        <w:rPr>
          <w:rFonts w:ascii="標楷體" w:eastAsia="標楷體" w:hAnsi="標楷體" w:hint="eastAsia"/>
          <w:color w:val="000000"/>
          <w:sz w:val="40"/>
          <w:szCs w:val="20"/>
        </w:rPr>
        <w:lastRenderedPageBreak/>
        <w:t>國立屏東科技大學</w:t>
      </w:r>
      <w:r w:rsidRPr="00CA6852">
        <w:rPr>
          <w:rFonts w:ascii="標楷體" w:eastAsia="標楷體" w:hAnsi="標楷體"/>
          <w:color w:val="000000"/>
          <w:sz w:val="40"/>
          <w:szCs w:val="20"/>
        </w:rPr>
        <w:t xml:space="preserve"> </w:t>
      </w:r>
      <w:r w:rsidRPr="00CA6852">
        <w:rPr>
          <w:rFonts w:ascii="標楷體" w:eastAsia="標楷體" w:hAnsi="標楷體" w:hint="eastAsia"/>
          <w:b/>
          <w:color w:val="000000"/>
          <w:sz w:val="40"/>
          <w:szCs w:val="20"/>
          <w:u w:val="single"/>
        </w:rPr>
        <w:t>社會工作系</w:t>
      </w:r>
      <w:r w:rsidRPr="00CA6852">
        <w:rPr>
          <w:rFonts w:ascii="標楷體" w:eastAsia="標楷體" w:hAnsi="標楷體"/>
          <w:color w:val="000000"/>
          <w:sz w:val="40"/>
          <w:szCs w:val="20"/>
        </w:rPr>
        <w:t xml:space="preserve"> </w:t>
      </w:r>
      <w:r w:rsidRPr="00CA6852">
        <w:rPr>
          <w:rFonts w:ascii="標楷體" w:eastAsia="標楷體" w:hAnsi="標楷體" w:hint="eastAsia"/>
          <w:color w:val="000000"/>
          <w:sz w:val="40"/>
          <w:szCs w:val="20"/>
        </w:rPr>
        <w:t>四年制進修部課程規劃表</w:t>
      </w:r>
      <w:r w:rsidRPr="005C6EAB">
        <w:rPr>
          <w:rFonts w:ascii="標楷體" w:eastAsia="標楷體" w:hAnsi="標楷體" w:cs="Calibri"/>
          <w:b/>
        </w:rPr>
        <w:t>(1</w:t>
      </w:r>
      <w:r w:rsidRPr="005C6EAB">
        <w:rPr>
          <w:rFonts w:ascii="標楷體" w:eastAsia="標楷體" w:hAnsi="標楷體" w:cs="Calibri" w:hint="eastAsia"/>
          <w:b/>
        </w:rPr>
        <w:t>11</w:t>
      </w:r>
      <w:r w:rsidRPr="005C6EAB">
        <w:rPr>
          <w:rFonts w:ascii="標楷體" w:eastAsia="標楷體" w:hAnsi="標楷體" w:cs="Calibri"/>
          <w:b/>
        </w:rPr>
        <w:t>-11</w:t>
      </w:r>
      <w:r w:rsidRPr="005C6EAB">
        <w:rPr>
          <w:rFonts w:ascii="標楷體" w:eastAsia="標楷體" w:hAnsi="標楷體" w:cs="Calibri" w:hint="eastAsia"/>
          <w:b/>
        </w:rPr>
        <w:t>4學年度</w:t>
      </w:r>
      <w:r w:rsidRPr="005C6EAB">
        <w:rPr>
          <w:rFonts w:ascii="標楷體" w:eastAsia="標楷體" w:hAnsi="標楷體" w:cs="Calibri"/>
          <w:b/>
        </w:rPr>
        <w:t>)</w:t>
      </w:r>
      <w:r w:rsidRPr="00636C6B">
        <w:rPr>
          <w:rFonts w:ascii="標楷體" w:eastAsia="標楷體" w:hAnsi="標楷體" w:cs="Calibri"/>
          <w:color w:val="FF0000"/>
        </w:rPr>
        <w:t xml:space="preserve"> </w:t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44"/>
        <w:gridCol w:w="851"/>
        <w:gridCol w:w="2551"/>
        <w:gridCol w:w="851"/>
        <w:gridCol w:w="3118"/>
        <w:gridCol w:w="851"/>
        <w:gridCol w:w="3118"/>
        <w:gridCol w:w="789"/>
        <w:gridCol w:w="629"/>
      </w:tblGrid>
      <w:tr w:rsidR="00E964C3" w:rsidRPr="00CA6852" w:rsidTr="00F16652">
        <w:trPr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  <w:br w:type="page"/>
            </w: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學年</w:t>
            </w:r>
          </w:p>
        </w:tc>
        <w:tc>
          <w:tcPr>
            <w:tcW w:w="6897" w:type="dxa"/>
            <w:gridSpan w:val="4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第三學年</w:t>
            </w:r>
          </w:p>
        </w:tc>
        <w:tc>
          <w:tcPr>
            <w:tcW w:w="7876" w:type="dxa"/>
            <w:gridSpan w:val="4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第四學年</w:t>
            </w:r>
          </w:p>
        </w:tc>
        <w:tc>
          <w:tcPr>
            <w:tcW w:w="629" w:type="dxa"/>
            <w:vMerge w:val="restart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學分總計</w:t>
            </w:r>
          </w:p>
        </w:tc>
      </w:tr>
      <w:tr w:rsidR="00E964C3" w:rsidRPr="00CA6852" w:rsidTr="00F16652">
        <w:trPr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學期</w:t>
            </w:r>
          </w:p>
        </w:tc>
        <w:tc>
          <w:tcPr>
            <w:tcW w:w="3495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第一學期</w:t>
            </w:r>
          </w:p>
        </w:tc>
        <w:tc>
          <w:tcPr>
            <w:tcW w:w="3402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第二學期</w:t>
            </w:r>
          </w:p>
        </w:tc>
        <w:tc>
          <w:tcPr>
            <w:tcW w:w="3969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第一學期</w:t>
            </w:r>
          </w:p>
        </w:tc>
        <w:tc>
          <w:tcPr>
            <w:tcW w:w="3907" w:type="dxa"/>
            <w:gridSpan w:val="2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第二學期</w:t>
            </w:r>
          </w:p>
        </w:tc>
        <w:tc>
          <w:tcPr>
            <w:tcW w:w="629" w:type="dxa"/>
            <w:vMerge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</w:tr>
      <w:tr w:rsidR="00E964C3" w:rsidRPr="00CA6852" w:rsidTr="00F16652">
        <w:trPr>
          <w:trHeight w:val="332"/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修別</w:t>
            </w:r>
          </w:p>
        </w:tc>
        <w:tc>
          <w:tcPr>
            <w:tcW w:w="2644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85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  <w:tc>
          <w:tcPr>
            <w:tcW w:w="255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85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  <w:tc>
          <w:tcPr>
            <w:tcW w:w="3118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851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  <w:tc>
          <w:tcPr>
            <w:tcW w:w="3118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科目</w:t>
            </w:r>
          </w:p>
        </w:tc>
        <w:tc>
          <w:tcPr>
            <w:tcW w:w="789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學分</w:t>
            </w:r>
          </w:p>
        </w:tc>
        <w:tc>
          <w:tcPr>
            <w:tcW w:w="629" w:type="dxa"/>
            <w:vMerge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</w:tr>
      <w:tr w:rsidR="00E964C3" w:rsidRPr="00CA6852" w:rsidTr="00F16652">
        <w:trPr>
          <w:trHeight w:val="2817"/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必</w:t>
            </w:r>
          </w:p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修</w:t>
            </w:r>
          </w:p>
        </w:tc>
        <w:tc>
          <w:tcPr>
            <w:tcW w:w="2644" w:type="dxa"/>
          </w:tcPr>
          <w:p w:rsidR="00E964C3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通識選項課程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方案設計與評估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pacing w:val="-16"/>
                <w:sz w:val="26"/>
                <w:szCs w:val="26"/>
              </w:rPr>
              <w:t>社會工作研究法</w:t>
            </w:r>
            <w:r w:rsidRPr="00FF70CF"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  <w:t xml:space="preserve">(1) </w:t>
            </w:r>
          </w:p>
          <w:p w:rsidR="00E964C3" w:rsidRPr="002E287D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社會工作倫理</w:t>
            </w:r>
          </w:p>
        </w:tc>
        <w:tc>
          <w:tcPr>
            <w:tcW w:w="851" w:type="dxa"/>
          </w:tcPr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E964C3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通識選項課程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社會工作研究法</w:t>
            </w: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(2) 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社會福利行政</w:t>
            </w:r>
          </w:p>
          <w:p w:rsidR="00E964C3" w:rsidRPr="00FF70CF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社會工作理論</w:t>
            </w:r>
          </w:p>
        </w:tc>
        <w:tc>
          <w:tcPr>
            <w:tcW w:w="851" w:type="dxa"/>
          </w:tcPr>
          <w:p w:rsidR="00E964C3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E964C3" w:rsidRPr="00421E07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1E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社會工作管理</w:t>
            </w:r>
          </w:p>
          <w:p w:rsidR="00E964C3" w:rsidRPr="002E287D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：社會福</w:t>
            </w:r>
          </w:p>
          <w:p w:rsidR="00E964C3" w:rsidRPr="002E287D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利機構實習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</w:p>
          <w:p w:rsidR="00E964C3" w:rsidRPr="002E287D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：社會救助機構實習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</w:p>
          <w:p w:rsidR="00E964C3" w:rsidRPr="002E287D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：社區工作機構實習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</w:p>
          <w:p w:rsidR="00E964C3" w:rsidRPr="002E287D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  <w:r w:rsidRPr="002E28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：社會行政機構實習</w:t>
            </w:r>
          </w:p>
          <w:p w:rsidR="00E964C3" w:rsidRPr="002E287D" w:rsidRDefault="00E964C3" w:rsidP="00F16652">
            <w:pPr>
              <w:adjustRightInd w:val="0"/>
              <w:spacing w:line="280" w:lineRule="exact"/>
              <w:ind w:leftChars="-65" w:left="-182" w:right="28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【社會工作實習</w:t>
            </w:r>
            <w:r w:rsidRPr="002E287D">
              <w:rPr>
                <w:rFonts w:ascii="標楷體" w:eastAsia="標楷體" w:hAnsi="標楷體"/>
                <w:color w:val="000000"/>
                <w:sz w:val="22"/>
                <w:szCs w:val="22"/>
              </w:rPr>
              <w:t>(1)</w:t>
            </w:r>
            <w:r w:rsidRPr="002E287D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>四選一</w:t>
            </w:r>
            <w:r w:rsidRPr="002E287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】</w:t>
            </w:r>
          </w:p>
        </w:tc>
        <w:tc>
          <w:tcPr>
            <w:tcW w:w="851" w:type="dxa"/>
          </w:tcPr>
          <w:p w:rsidR="00E964C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2E287D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964C3" w:rsidRPr="002E287D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E964C3" w:rsidRPr="002E287D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6"/>
                <w:szCs w:val="26"/>
              </w:rPr>
              <w:t>社會工作實習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(2)</w:t>
            </w: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6"/>
                <w:szCs w:val="26"/>
              </w:rPr>
              <w:t>：社會福利方案實習</w:t>
            </w:r>
            <w:r w:rsidRPr="002E287D"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/</w:t>
            </w:r>
          </w:p>
          <w:p w:rsidR="00E964C3" w:rsidRPr="002E287D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6"/>
                <w:szCs w:val="26"/>
              </w:rPr>
              <w:t>社會工作實習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(2)</w:t>
            </w: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6"/>
                <w:szCs w:val="26"/>
              </w:rPr>
              <w:t>：社會救助方案實習</w:t>
            </w:r>
            <w:r w:rsidRPr="002E287D"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  <w:t>/</w:t>
            </w:r>
          </w:p>
          <w:p w:rsidR="00E964C3" w:rsidRPr="002E287D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4"/>
                <w:sz w:val="26"/>
                <w:szCs w:val="26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6"/>
                <w:szCs w:val="26"/>
              </w:rPr>
              <w:t>社會工作實習</w:t>
            </w: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(2)</w:t>
            </w: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6"/>
                <w:szCs w:val="26"/>
              </w:rPr>
              <w:t>社區工作方案實習</w:t>
            </w:r>
          </w:p>
          <w:p w:rsidR="00E964C3" w:rsidRPr="002E287D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【社會工作實習</w:t>
            </w:r>
            <w:r w:rsidRPr="002E287D">
              <w:rPr>
                <w:rFonts w:ascii="標楷體" w:eastAsia="標楷體" w:hAnsi="標楷體"/>
                <w:color w:val="000000"/>
                <w:sz w:val="22"/>
                <w:szCs w:val="22"/>
              </w:rPr>
              <w:t>(2)</w:t>
            </w:r>
            <w:r w:rsidRPr="002E287D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>三選一</w:t>
            </w:r>
            <w:r w:rsidRPr="002E287D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】</w:t>
            </w:r>
          </w:p>
        </w:tc>
        <w:tc>
          <w:tcPr>
            <w:tcW w:w="789" w:type="dxa"/>
          </w:tcPr>
          <w:p w:rsidR="00E964C3" w:rsidRPr="002E287D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287D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9" w:type="dxa"/>
          </w:tcPr>
          <w:p w:rsidR="00E964C3" w:rsidRPr="002E287D" w:rsidRDefault="00E964C3" w:rsidP="00F16652">
            <w:pPr>
              <w:adjustRightInd w:val="0"/>
              <w:spacing w:beforeLines="25" w:before="60" w:line="280" w:lineRule="exact"/>
              <w:ind w:right="2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964C3" w:rsidRPr="00CA6852" w:rsidTr="00F16652">
        <w:trPr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小計</w:t>
            </w:r>
          </w:p>
        </w:tc>
        <w:tc>
          <w:tcPr>
            <w:tcW w:w="2644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2E287D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2E287D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551" w:type="dxa"/>
            <w:vAlign w:val="center"/>
          </w:tcPr>
          <w:p w:rsidR="00E964C3" w:rsidRPr="002E287D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2E287D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2E287D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3118" w:type="dxa"/>
            <w:vAlign w:val="center"/>
          </w:tcPr>
          <w:p w:rsidR="00E964C3" w:rsidRPr="002E287D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5C6EAB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5C6EA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:rsidR="00E964C3" w:rsidRPr="005C6EAB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</w:p>
        </w:tc>
        <w:tc>
          <w:tcPr>
            <w:tcW w:w="789" w:type="dxa"/>
            <w:vAlign w:val="center"/>
          </w:tcPr>
          <w:p w:rsidR="00E964C3" w:rsidRPr="005C6EAB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5C6EA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29" w:type="dxa"/>
            <w:vAlign w:val="center"/>
          </w:tcPr>
          <w:p w:rsidR="00E964C3" w:rsidRPr="005C6EAB" w:rsidRDefault="00E964C3" w:rsidP="00F16652">
            <w:pPr>
              <w:suppressAutoHyphens/>
              <w:snapToGrid w:val="0"/>
              <w:spacing w:line="280" w:lineRule="exact"/>
              <w:ind w:leftChars="-29" w:left="-81" w:right="-87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5C6EAB">
              <w:rPr>
                <w:rFonts w:ascii="標楷體" w:eastAsia="標楷體" w:hAnsi="標楷體" w:hint="eastAsia"/>
                <w:sz w:val="26"/>
                <w:szCs w:val="26"/>
              </w:rPr>
              <w:t>89</w:t>
            </w:r>
          </w:p>
        </w:tc>
      </w:tr>
      <w:tr w:rsidR="00E964C3" w:rsidRPr="00CA6852" w:rsidTr="00F16652">
        <w:trPr>
          <w:trHeight w:val="2055"/>
          <w:jc w:val="center"/>
        </w:trPr>
        <w:tc>
          <w:tcPr>
            <w:tcW w:w="900" w:type="dxa"/>
            <w:vAlign w:val="center"/>
          </w:tcPr>
          <w:p w:rsidR="00E964C3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</w:t>
            </w:r>
          </w:p>
          <w:p w:rsidR="00E964C3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業</w:t>
            </w:r>
          </w:p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選</w:t>
            </w:r>
          </w:p>
          <w:p w:rsidR="00E964C3" w:rsidRPr="00FF70CF" w:rsidRDefault="00E964C3" w:rsidP="00F16652">
            <w:pPr>
              <w:adjustRightInd w:val="0"/>
              <w:spacing w:line="240" w:lineRule="atLeast"/>
              <w:ind w:right="28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修</w:t>
            </w:r>
          </w:p>
        </w:tc>
        <w:tc>
          <w:tcPr>
            <w:tcW w:w="2644" w:type="dxa"/>
          </w:tcPr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pacing w:val="-16"/>
                <w:sz w:val="26"/>
                <w:szCs w:val="26"/>
              </w:rPr>
              <w:t>原住民社會工作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pacing w:val="-18"/>
                <w:sz w:val="26"/>
                <w:szCs w:val="26"/>
              </w:rPr>
              <w:t>青少年犯罪與觀護工作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pacing w:val="-16"/>
                <w:sz w:val="26"/>
                <w:szCs w:val="26"/>
              </w:rPr>
              <w:t>身心障礙社會工作</w:t>
            </w:r>
          </w:p>
          <w:p w:rsidR="00FC1BA5" w:rsidRPr="00FF70CF" w:rsidRDefault="00FC1BA5" w:rsidP="00FC1BA5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FC1BA5">
              <w:rPr>
                <w:rFonts w:ascii="標楷體" w:eastAsia="標楷體" w:hAnsi="標楷體" w:hint="eastAsia"/>
                <w:color w:val="000000"/>
                <w:spacing w:val="-16"/>
                <w:sz w:val="26"/>
                <w:szCs w:val="26"/>
              </w:rPr>
              <w:t>就業服務與社會工作</w:t>
            </w:r>
          </w:p>
          <w:p w:rsidR="00E964C3" w:rsidRPr="005C6EAB" w:rsidRDefault="00E964C3" w:rsidP="00F16652">
            <w:pPr>
              <w:adjustRightInd w:val="0"/>
              <w:spacing w:line="280" w:lineRule="exact"/>
              <w:ind w:right="28"/>
              <w:jc w:val="both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家庭暴力理論與實務</w:t>
            </w:r>
            <w:r w:rsidRPr="005C6EAB">
              <w:rPr>
                <w:rFonts w:ascii="標楷體" w:eastAsia="標楷體" w:hAnsi="標楷體" w:hint="eastAsia"/>
                <w:sz w:val="26"/>
                <w:szCs w:val="26"/>
              </w:rPr>
              <w:t>實務專題</w:t>
            </w:r>
          </w:p>
        </w:tc>
        <w:tc>
          <w:tcPr>
            <w:tcW w:w="851" w:type="dxa"/>
          </w:tcPr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FC1BA5" w:rsidRDefault="00FC1BA5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  <w:p w:rsidR="00E964C3" w:rsidRPr="007065F9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會談</w:t>
            </w: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技巧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非營利組織管理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社會保險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醫務社會工作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精神醫療社會工作</w:t>
            </w:r>
          </w:p>
          <w:p w:rsidR="00E964C3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老人社會工作</w:t>
            </w:r>
          </w:p>
          <w:p w:rsidR="00E964C3" w:rsidRPr="005C6EAB" w:rsidRDefault="00E964C3" w:rsidP="00F16652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5C6EAB">
              <w:rPr>
                <w:rFonts w:ascii="標楷體" w:eastAsia="標楷體" w:hAnsi="標楷體" w:hint="eastAsia"/>
                <w:sz w:val="26"/>
                <w:szCs w:val="26"/>
              </w:rPr>
              <w:t>實務專題</w:t>
            </w:r>
          </w:p>
        </w:tc>
        <w:tc>
          <w:tcPr>
            <w:tcW w:w="851" w:type="dxa"/>
          </w:tcPr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  <w:p w:rsidR="00E964C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7065F9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E964C3" w:rsidRPr="009B3753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 w:hint="eastAsia"/>
                <w:strike/>
                <w:color w:val="000000"/>
                <w:sz w:val="26"/>
                <w:szCs w:val="26"/>
                <w:highlight w:val="yellow"/>
              </w:rPr>
              <w:t>災難社會工作</w:t>
            </w:r>
          </w:p>
          <w:p w:rsidR="00E964C3" w:rsidRPr="007065F9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B3753">
              <w:rPr>
                <w:rFonts w:ascii="標楷體" w:eastAsia="標楷體" w:hAnsi="標楷體" w:hint="eastAsia"/>
                <w:strike/>
                <w:color w:val="000000"/>
                <w:sz w:val="26"/>
                <w:szCs w:val="26"/>
                <w:highlight w:val="yellow"/>
              </w:rPr>
              <w:t>女性主義</w:t>
            </w:r>
            <w:r w:rsidRPr="009B3753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性別</w:t>
            </w:r>
            <w:r w:rsidRPr="007065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與社會工作</w:t>
            </w:r>
          </w:p>
          <w:p w:rsidR="00E964C3" w:rsidRPr="007065F9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65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多元文化與社會工作</w:t>
            </w:r>
          </w:p>
          <w:p w:rsidR="00E964C3" w:rsidRPr="009B3753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 w:hint="eastAsia"/>
                <w:strike/>
                <w:color w:val="000000"/>
                <w:sz w:val="26"/>
                <w:szCs w:val="26"/>
                <w:highlight w:val="yellow"/>
              </w:rPr>
              <w:t>社會工作專業訓練與實作</w:t>
            </w:r>
          </w:p>
        </w:tc>
        <w:tc>
          <w:tcPr>
            <w:tcW w:w="851" w:type="dxa"/>
          </w:tcPr>
          <w:p w:rsidR="00E964C3" w:rsidRPr="009B375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/>
                <w:strike/>
                <w:color w:val="000000"/>
                <w:sz w:val="26"/>
                <w:szCs w:val="26"/>
                <w:highlight w:val="yellow"/>
              </w:rPr>
              <w:t>2</w:t>
            </w:r>
          </w:p>
          <w:p w:rsidR="00E964C3" w:rsidRPr="007065F9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65F9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7065F9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65F9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9B375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 w:hint="eastAsia"/>
                <w:strike/>
                <w:color w:val="000000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3118" w:type="dxa"/>
          </w:tcPr>
          <w:p w:rsidR="00E964C3" w:rsidRPr="009B3753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  <w:r w:rsidRPr="009B3753">
              <w:rPr>
                <w:rFonts w:ascii="標楷體" w:eastAsia="標楷體" w:hAnsi="標楷體" w:hint="eastAsia"/>
                <w:strike/>
                <w:color w:val="000000"/>
                <w:sz w:val="26"/>
                <w:szCs w:val="26"/>
                <w:highlight w:val="yellow"/>
              </w:rPr>
              <w:t>社會工作督導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社會資源開發與管理</w:t>
            </w:r>
          </w:p>
          <w:p w:rsidR="00E964C3" w:rsidRPr="004204C2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臨終關懷與社會工作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長期照顧</w:t>
            </w:r>
          </w:p>
        </w:tc>
        <w:tc>
          <w:tcPr>
            <w:tcW w:w="789" w:type="dxa"/>
          </w:tcPr>
          <w:p w:rsidR="00E964C3" w:rsidRPr="009B375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  <w:r w:rsidRPr="009B3753">
              <w:rPr>
                <w:rFonts w:ascii="標楷體" w:eastAsia="標楷體" w:hAnsi="標楷體"/>
                <w:strike/>
                <w:color w:val="000000"/>
                <w:sz w:val="26"/>
                <w:szCs w:val="26"/>
                <w:highlight w:val="yellow"/>
              </w:rPr>
              <w:t>3</w:t>
            </w:r>
          </w:p>
          <w:p w:rsidR="00E964C3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C1B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70CF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  <w:p w:rsidR="00E964C3" w:rsidRPr="00FF70CF" w:rsidRDefault="00FC1BA5" w:rsidP="00FC1BA5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9" w:type="dxa"/>
            <w:vAlign w:val="center"/>
          </w:tcPr>
          <w:p w:rsidR="00E964C3" w:rsidRPr="00FF70CF" w:rsidRDefault="00E964C3" w:rsidP="00F16652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964C3" w:rsidRPr="005C6EAB" w:rsidTr="00F16652">
        <w:trPr>
          <w:jc w:val="center"/>
        </w:trPr>
        <w:tc>
          <w:tcPr>
            <w:tcW w:w="900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4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  <w:r w:rsidRPr="00FF70C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ar-SA"/>
              </w:rPr>
              <w:t>小計</w:t>
            </w:r>
          </w:p>
        </w:tc>
        <w:tc>
          <w:tcPr>
            <w:tcW w:w="2644" w:type="dxa"/>
            <w:vAlign w:val="center"/>
          </w:tcPr>
          <w:p w:rsidR="00E964C3" w:rsidRPr="00FF70CF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7065F9" w:rsidRDefault="00FC1BA5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551" w:type="dxa"/>
            <w:vAlign w:val="center"/>
          </w:tcPr>
          <w:p w:rsidR="00E964C3" w:rsidRPr="007065F9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7065F9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7065F9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3118" w:type="dxa"/>
            <w:vAlign w:val="center"/>
          </w:tcPr>
          <w:p w:rsidR="00E964C3" w:rsidRPr="007065F9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964C3" w:rsidRPr="007065F9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9B3753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3118" w:type="dxa"/>
            <w:vAlign w:val="center"/>
          </w:tcPr>
          <w:p w:rsidR="00E964C3" w:rsidRPr="007065F9" w:rsidRDefault="00E964C3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</w:p>
        </w:tc>
        <w:tc>
          <w:tcPr>
            <w:tcW w:w="789" w:type="dxa"/>
            <w:vAlign w:val="center"/>
          </w:tcPr>
          <w:p w:rsidR="00E964C3" w:rsidRPr="007065F9" w:rsidRDefault="00FC1BA5" w:rsidP="00F16652">
            <w:pPr>
              <w:suppressAutoHyphens/>
              <w:snapToGrid w:val="0"/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FC1BA5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629" w:type="dxa"/>
            <w:vAlign w:val="center"/>
          </w:tcPr>
          <w:p w:rsidR="00E964C3" w:rsidRPr="005C6EAB" w:rsidRDefault="00E964C3" w:rsidP="00F16652">
            <w:pPr>
              <w:suppressAutoHyphens/>
              <w:snapToGrid w:val="0"/>
              <w:spacing w:line="280" w:lineRule="exact"/>
              <w:ind w:leftChars="-29" w:left="-81" w:right="-87"/>
              <w:jc w:val="center"/>
              <w:rPr>
                <w:rFonts w:ascii="標楷體" w:eastAsia="標楷體" w:hAnsi="標楷體"/>
                <w:sz w:val="26"/>
                <w:szCs w:val="26"/>
                <w:lang w:eastAsia="ar-SA"/>
              </w:rPr>
            </w:pPr>
            <w:r w:rsidRPr="009B3753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6</w:t>
            </w:r>
            <w:r w:rsidR="004204C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8</w:t>
            </w:r>
          </w:p>
        </w:tc>
      </w:tr>
    </w:tbl>
    <w:p w:rsidR="00E964C3" w:rsidRPr="004204C2" w:rsidRDefault="00E964C3" w:rsidP="00E964C3">
      <w:pPr>
        <w:adjustRightInd w:val="0"/>
        <w:snapToGrid w:val="0"/>
        <w:spacing w:line="240" w:lineRule="atLeast"/>
        <w:ind w:leftChars="-177" w:left="932" w:hangingChars="595" w:hanging="1428"/>
        <w:textAlignment w:val="baseline"/>
        <w:rPr>
          <w:rFonts w:ascii="標楷體" w:eastAsia="標楷體" w:hAnsi="標楷體"/>
          <w:color w:val="000000"/>
          <w:sz w:val="24"/>
          <w:szCs w:val="24"/>
        </w:rPr>
      </w:pPr>
      <w:r w:rsidRPr="004204C2">
        <w:rPr>
          <w:rFonts w:ascii="標楷體" w:eastAsia="標楷體" w:hAnsi="標楷體" w:hint="eastAsia"/>
          <w:color w:val="000000"/>
          <w:sz w:val="24"/>
          <w:szCs w:val="24"/>
        </w:rPr>
        <w:t>註：</w:t>
      </w:r>
      <w:r w:rsidRPr="004204C2">
        <w:rPr>
          <w:rFonts w:ascii="標楷體" w:eastAsia="標楷體" w:hAnsi="標楷體"/>
          <w:color w:val="000000"/>
          <w:sz w:val="24"/>
          <w:szCs w:val="24"/>
        </w:rPr>
        <w:t>1.</w:t>
      </w:r>
      <w:r w:rsidRPr="004204C2">
        <w:rPr>
          <w:rFonts w:ascii="標楷體" w:eastAsia="標楷體" w:hAnsi="標楷體" w:hint="eastAsia"/>
          <w:color w:val="000000"/>
          <w:sz w:val="24"/>
          <w:szCs w:val="24"/>
        </w:rPr>
        <w:t>本系學生至少應修滿</w:t>
      </w:r>
      <w:r w:rsidRPr="004204C2">
        <w:rPr>
          <w:rFonts w:ascii="標楷體" w:eastAsia="標楷體" w:hAnsi="標楷體"/>
          <w:b/>
          <w:color w:val="000000"/>
          <w:sz w:val="24"/>
          <w:szCs w:val="24"/>
          <w:u w:val="single"/>
        </w:rPr>
        <w:t>128</w:t>
      </w:r>
      <w:r w:rsidRPr="004204C2">
        <w:rPr>
          <w:rFonts w:ascii="標楷體" w:eastAsia="標楷體" w:hAnsi="標楷體" w:hint="eastAsia"/>
          <w:color w:val="000000"/>
          <w:sz w:val="24"/>
          <w:szCs w:val="24"/>
        </w:rPr>
        <w:t>學分始得畢業【必修</w:t>
      </w:r>
      <w:r w:rsidRPr="004204C2">
        <w:rPr>
          <w:rFonts w:ascii="標楷體" w:eastAsia="標楷體" w:hAnsi="標楷體" w:hint="eastAsia"/>
          <w:b/>
          <w:sz w:val="24"/>
          <w:szCs w:val="24"/>
          <w:highlight w:val="yellow"/>
          <w:u w:val="single"/>
        </w:rPr>
        <w:t>89</w:t>
      </w:r>
      <w:r w:rsidRPr="004204C2">
        <w:rPr>
          <w:rFonts w:ascii="標楷體" w:eastAsia="標楷體" w:hAnsi="標楷體" w:hint="eastAsia"/>
          <w:sz w:val="24"/>
          <w:szCs w:val="24"/>
        </w:rPr>
        <w:t>學分，選修</w:t>
      </w:r>
      <w:r w:rsidRPr="004204C2">
        <w:rPr>
          <w:rFonts w:ascii="標楷體" w:eastAsia="標楷體" w:hAnsi="標楷體" w:hint="eastAsia"/>
          <w:b/>
          <w:sz w:val="24"/>
          <w:szCs w:val="24"/>
          <w:highlight w:val="yellow"/>
          <w:u w:val="single"/>
        </w:rPr>
        <w:t>39</w:t>
      </w:r>
      <w:r w:rsidRPr="004204C2">
        <w:rPr>
          <w:rFonts w:ascii="標楷體" w:eastAsia="標楷體" w:hAnsi="標楷體" w:hint="eastAsia"/>
          <w:sz w:val="24"/>
          <w:szCs w:val="24"/>
        </w:rPr>
        <w:t>學分（其中本系專業選修至少需</w:t>
      </w:r>
      <w:r w:rsidRPr="004204C2">
        <w:rPr>
          <w:rFonts w:ascii="標楷體" w:eastAsia="標楷體" w:hAnsi="標楷體" w:hint="eastAsia"/>
          <w:b/>
          <w:sz w:val="24"/>
          <w:szCs w:val="24"/>
          <w:highlight w:val="yellow"/>
          <w:u w:val="single"/>
        </w:rPr>
        <w:t>26</w:t>
      </w:r>
      <w:r w:rsidRPr="004204C2">
        <w:rPr>
          <w:rFonts w:ascii="標楷體" w:eastAsia="標楷體" w:hAnsi="標楷體" w:hint="eastAsia"/>
          <w:sz w:val="24"/>
          <w:szCs w:val="24"/>
        </w:rPr>
        <w:t>學分）】</w:t>
      </w:r>
    </w:p>
    <w:p w:rsidR="00E964C3" w:rsidRPr="004204C2" w:rsidRDefault="00E964C3" w:rsidP="004204C2">
      <w:pPr>
        <w:adjustRightInd w:val="0"/>
        <w:snapToGrid w:val="0"/>
        <w:spacing w:line="240" w:lineRule="atLeast"/>
        <w:ind w:leftChars="-15" w:left="1007" w:hangingChars="437" w:hanging="1049"/>
        <w:textAlignment w:val="baseline"/>
        <w:rPr>
          <w:rFonts w:ascii="標楷體" w:eastAsia="標楷體" w:hAnsi="標楷體"/>
          <w:color w:val="000000"/>
          <w:sz w:val="24"/>
          <w:szCs w:val="24"/>
        </w:rPr>
      </w:pPr>
      <w:r w:rsidRPr="004204C2">
        <w:rPr>
          <w:rFonts w:ascii="標楷體" w:eastAsia="標楷體" w:hAnsi="標楷體"/>
          <w:color w:val="000000"/>
          <w:sz w:val="24"/>
          <w:szCs w:val="24"/>
        </w:rPr>
        <w:t>2.</w:t>
      </w:r>
      <w:r w:rsidRPr="004204C2">
        <w:rPr>
          <w:rFonts w:ascii="標楷體" w:eastAsia="標楷體" w:hAnsi="標楷體" w:hint="eastAsia"/>
          <w:color w:val="000000"/>
          <w:sz w:val="24"/>
          <w:szCs w:val="24"/>
        </w:rPr>
        <w:t>「外語實務」</w:t>
      </w:r>
      <w:r w:rsidRPr="004204C2">
        <w:rPr>
          <w:rFonts w:eastAsia="標楷體" w:hint="eastAsia"/>
          <w:sz w:val="24"/>
          <w:szCs w:val="24"/>
        </w:rPr>
        <w:t>每學期皆開放修課，</w:t>
      </w:r>
      <w:r w:rsidRPr="004204C2">
        <w:rPr>
          <w:rFonts w:ascii="標楷體" w:eastAsia="標楷體" w:hAnsi="標楷體" w:hint="eastAsia"/>
          <w:color w:val="000000"/>
          <w:sz w:val="24"/>
          <w:szCs w:val="24"/>
        </w:rPr>
        <w:t>並須於畢業前依本校「外語實務課程實施要點」規定修畢。</w:t>
      </w:r>
    </w:p>
    <w:p w:rsidR="00E964C3" w:rsidRPr="004204C2" w:rsidRDefault="00E964C3" w:rsidP="004204C2">
      <w:pPr>
        <w:adjustRightInd w:val="0"/>
        <w:snapToGrid w:val="0"/>
        <w:spacing w:line="240" w:lineRule="atLeast"/>
        <w:ind w:leftChars="-15" w:left="265" w:hangingChars="128" w:hanging="307"/>
        <w:textAlignment w:val="baseline"/>
        <w:rPr>
          <w:rFonts w:ascii="標楷體" w:eastAsia="標楷體" w:hAnsi="標楷體"/>
          <w:color w:val="000000"/>
          <w:sz w:val="24"/>
          <w:szCs w:val="24"/>
        </w:rPr>
      </w:pPr>
      <w:r w:rsidRPr="004204C2">
        <w:rPr>
          <w:rFonts w:ascii="標楷體" w:eastAsia="標楷體" w:hAnsi="標楷體"/>
          <w:color w:val="000000"/>
          <w:sz w:val="24"/>
          <w:szCs w:val="24"/>
        </w:rPr>
        <w:t>3.</w:t>
      </w:r>
      <w:r w:rsidRPr="004204C2">
        <w:rPr>
          <w:rFonts w:ascii="標楷體" w:eastAsia="標楷體" w:hAnsi="標楷體" w:hint="eastAsia"/>
          <w:sz w:val="24"/>
          <w:szCs w:val="24"/>
        </w:rPr>
        <w:t>通識選項課程</w:t>
      </w:r>
      <w:r w:rsidRPr="004204C2">
        <w:rPr>
          <w:rFonts w:ascii="標楷體" w:eastAsia="標楷體" w:hAnsi="標楷體"/>
          <w:sz w:val="24"/>
          <w:szCs w:val="24"/>
        </w:rPr>
        <w:t>:</w:t>
      </w:r>
      <w:r w:rsidRPr="004204C2">
        <w:rPr>
          <w:rFonts w:ascii="標楷體" w:eastAsia="標楷體" w:hAnsi="標楷體" w:hint="eastAsia"/>
          <w:sz w:val="24"/>
          <w:szCs w:val="24"/>
        </w:rPr>
        <w:t>人文學科</w:t>
      </w:r>
      <w:r w:rsidRPr="004204C2">
        <w:rPr>
          <w:rFonts w:ascii="標楷體" w:eastAsia="標楷體" w:hAnsi="標楷體"/>
          <w:sz w:val="24"/>
          <w:szCs w:val="24"/>
        </w:rPr>
        <w:t>(</w:t>
      </w:r>
      <w:r w:rsidRPr="004204C2">
        <w:rPr>
          <w:rFonts w:ascii="標楷體" w:eastAsia="標楷體" w:hAnsi="標楷體" w:hint="eastAsia"/>
          <w:sz w:val="24"/>
          <w:szCs w:val="24"/>
        </w:rPr>
        <w:t>永久碼</w:t>
      </w:r>
      <w:r w:rsidRPr="004204C2">
        <w:rPr>
          <w:rFonts w:ascii="標楷體" w:eastAsia="標楷體" w:hAnsi="標楷體"/>
          <w:sz w:val="24"/>
          <w:szCs w:val="24"/>
        </w:rPr>
        <w:t>:01264)2</w:t>
      </w:r>
      <w:r w:rsidRPr="004204C2">
        <w:rPr>
          <w:rFonts w:ascii="標楷體" w:eastAsia="標楷體" w:hAnsi="標楷體" w:hint="eastAsia"/>
          <w:sz w:val="24"/>
          <w:szCs w:val="24"/>
        </w:rPr>
        <w:t>門、社會科學</w:t>
      </w:r>
      <w:r w:rsidRPr="004204C2">
        <w:rPr>
          <w:rFonts w:ascii="標楷體" w:eastAsia="標楷體" w:hAnsi="標楷體"/>
          <w:sz w:val="24"/>
          <w:szCs w:val="24"/>
        </w:rPr>
        <w:t>(</w:t>
      </w:r>
      <w:r w:rsidRPr="004204C2">
        <w:rPr>
          <w:rFonts w:ascii="標楷體" w:eastAsia="標楷體" w:hAnsi="標楷體" w:hint="eastAsia"/>
          <w:sz w:val="24"/>
          <w:szCs w:val="24"/>
        </w:rPr>
        <w:t>永久碼</w:t>
      </w:r>
      <w:r w:rsidRPr="004204C2">
        <w:rPr>
          <w:rFonts w:ascii="標楷體" w:eastAsia="標楷體" w:hAnsi="標楷體"/>
          <w:sz w:val="24"/>
          <w:szCs w:val="24"/>
        </w:rPr>
        <w:t>:01265)2</w:t>
      </w:r>
      <w:r w:rsidRPr="004204C2">
        <w:rPr>
          <w:rFonts w:ascii="標楷體" w:eastAsia="標楷體" w:hAnsi="標楷體" w:hint="eastAsia"/>
          <w:sz w:val="24"/>
          <w:szCs w:val="24"/>
        </w:rPr>
        <w:t>門、自然與生命科學</w:t>
      </w:r>
      <w:r w:rsidRPr="004204C2">
        <w:rPr>
          <w:rFonts w:ascii="標楷體" w:eastAsia="標楷體" w:hAnsi="標楷體"/>
          <w:sz w:val="24"/>
          <w:szCs w:val="24"/>
        </w:rPr>
        <w:t>(</w:t>
      </w:r>
      <w:r w:rsidRPr="004204C2">
        <w:rPr>
          <w:rFonts w:ascii="標楷體" w:eastAsia="標楷體" w:hAnsi="標楷體" w:hint="eastAsia"/>
          <w:sz w:val="24"/>
          <w:szCs w:val="24"/>
        </w:rPr>
        <w:t>永久碼</w:t>
      </w:r>
      <w:r w:rsidRPr="004204C2">
        <w:rPr>
          <w:rFonts w:ascii="標楷體" w:eastAsia="標楷體" w:hAnsi="標楷體"/>
          <w:sz w:val="24"/>
          <w:szCs w:val="24"/>
        </w:rPr>
        <w:t>: 01266)1</w:t>
      </w:r>
      <w:r w:rsidRPr="004204C2">
        <w:rPr>
          <w:rFonts w:ascii="標楷體" w:eastAsia="標楷體" w:hAnsi="標楷體" w:hint="eastAsia"/>
          <w:sz w:val="24"/>
          <w:szCs w:val="24"/>
        </w:rPr>
        <w:t>門、數理與應用科學</w:t>
      </w:r>
      <w:r w:rsidRPr="004204C2">
        <w:rPr>
          <w:rFonts w:ascii="標楷體" w:eastAsia="標楷體" w:hAnsi="標楷體"/>
          <w:sz w:val="24"/>
          <w:szCs w:val="24"/>
        </w:rPr>
        <w:t>(</w:t>
      </w:r>
      <w:r w:rsidRPr="004204C2">
        <w:rPr>
          <w:rFonts w:ascii="標楷體" w:eastAsia="標楷體" w:hAnsi="標楷體" w:hint="eastAsia"/>
          <w:sz w:val="24"/>
          <w:szCs w:val="24"/>
        </w:rPr>
        <w:t>永久碼</w:t>
      </w:r>
      <w:r w:rsidRPr="004204C2">
        <w:rPr>
          <w:rFonts w:ascii="標楷體" w:eastAsia="標楷體" w:hAnsi="標楷體"/>
          <w:sz w:val="24"/>
          <w:szCs w:val="24"/>
        </w:rPr>
        <w:t>: 01267)1</w:t>
      </w:r>
      <w:r w:rsidRPr="004204C2">
        <w:rPr>
          <w:rFonts w:ascii="標楷體" w:eastAsia="標楷體" w:hAnsi="標楷體" w:hint="eastAsia"/>
          <w:sz w:val="24"/>
          <w:szCs w:val="24"/>
        </w:rPr>
        <w:t>門</w:t>
      </w:r>
      <w:r w:rsidRPr="004204C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D03DEC" w:rsidRPr="001816EA" w:rsidRDefault="00E964C3" w:rsidP="005B7EFE">
      <w:pPr>
        <w:adjustRightInd w:val="0"/>
        <w:snapToGrid w:val="0"/>
        <w:spacing w:line="240" w:lineRule="atLeast"/>
        <w:ind w:leftChars="-15" w:left="266" w:hangingChars="128" w:hanging="308"/>
        <w:textAlignment w:val="baseline"/>
        <w:rPr>
          <w:rFonts w:ascii="標楷體" w:eastAsia="標楷體" w:hAnsi="標楷體" w:cs="Times New Roman"/>
          <w:kern w:val="2"/>
          <w:sz w:val="26"/>
          <w:szCs w:val="26"/>
        </w:rPr>
      </w:pPr>
      <w:r w:rsidRPr="004204C2">
        <w:rPr>
          <w:rFonts w:eastAsia="標楷體" w:hAnsi="標楷體"/>
          <w:b/>
          <w:color w:val="0000FF"/>
          <w:sz w:val="24"/>
          <w:szCs w:val="24"/>
        </w:rPr>
        <w:t>4.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</w:rPr>
        <w:t>系必修「心理學」及「社會學」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  <w:u w:val="single"/>
        </w:rPr>
        <w:t>各</w:t>
      </w:r>
      <w:r w:rsidRPr="004204C2">
        <w:rPr>
          <w:rFonts w:ascii="標楷體" w:eastAsia="標楷體" w:hAnsi="標楷體"/>
          <w:b/>
          <w:color w:val="0000FF"/>
          <w:sz w:val="24"/>
          <w:szCs w:val="24"/>
          <w:u w:val="single"/>
        </w:rPr>
        <w:t>3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  <w:u w:val="single"/>
        </w:rPr>
        <w:t>學分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</w:rPr>
        <w:t>，抵免院必修「心理學」</w:t>
      </w:r>
      <w:r w:rsidRPr="004204C2">
        <w:rPr>
          <w:rFonts w:ascii="標楷體" w:eastAsia="標楷體" w:hAnsi="標楷體"/>
          <w:b/>
          <w:color w:val="0000FF"/>
          <w:sz w:val="24"/>
          <w:szCs w:val="24"/>
          <w:u w:val="single"/>
        </w:rPr>
        <w:t>2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  <w:u w:val="single"/>
        </w:rPr>
        <w:t>學分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</w:rPr>
        <w:t>、「社會學」</w:t>
      </w:r>
      <w:r w:rsidRPr="004204C2">
        <w:rPr>
          <w:rFonts w:ascii="標楷體" w:eastAsia="標楷體" w:hAnsi="標楷體"/>
          <w:b/>
          <w:color w:val="0000FF"/>
          <w:sz w:val="24"/>
          <w:szCs w:val="24"/>
          <w:u w:val="single"/>
        </w:rPr>
        <w:t>2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  <w:u w:val="single"/>
        </w:rPr>
        <w:t>學分</w:t>
      </w:r>
      <w:r w:rsidRPr="004204C2">
        <w:rPr>
          <w:rFonts w:ascii="標楷體" w:eastAsia="標楷體" w:hAnsi="標楷體" w:hint="eastAsia"/>
          <w:b/>
          <w:color w:val="0000FF"/>
          <w:sz w:val="24"/>
          <w:szCs w:val="24"/>
        </w:rPr>
        <w:t>，以符合社工師規定應考資格。</w:t>
      </w:r>
    </w:p>
    <w:sectPr w:rsidR="00D03DEC" w:rsidRPr="001816EA" w:rsidSect="005B7EFE">
      <w:footerReference w:type="default" r:id="rId9"/>
      <w:pgSz w:w="16840" w:h="11907" w:orient="landscape" w:code="9"/>
      <w:pgMar w:top="737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DA" w:rsidRDefault="003F70DA" w:rsidP="007934CE">
      <w:pPr>
        <w:spacing w:line="240" w:lineRule="auto"/>
      </w:pPr>
      <w:r>
        <w:separator/>
      </w:r>
    </w:p>
  </w:endnote>
  <w:endnote w:type="continuationSeparator" w:id="0">
    <w:p w:rsidR="003F70DA" w:rsidRDefault="003F70DA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FE" w:rsidRPr="005B7EFE">
          <w:rPr>
            <w:noProof/>
            <w:lang w:val="zh-TW"/>
          </w:rPr>
          <w:t>2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DA" w:rsidRDefault="003F70DA" w:rsidP="007934CE">
      <w:pPr>
        <w:spacing w:line="240" w:lineRule="auto"/>
      </w:pPr>
      <w:r>
        <w:separator/>
      </w:r>
    </w:p>
  </w:footnote>
  <w:footnote w:type="continuationSeparator" w:id="0">
    <w:p w:rsidR="003F70DA" w:rsidRDefault="003F70DA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32"/>
    <w:rsid w:val="00004532"/>
    <w:rsid w:val="000575F1"/>
    <w:rsid w:val="00061B0B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80F2B"/>
    <w:rsid w:val="001816EA"/>
    <w:rsid w:val="001A2BD4"/>
    <w:rsid w:val="001A5BED"/>
    <w:rsid w:val="001E13FA"/>
    <w:rsid w:val="00256374"/>
    <w:rsid w:val="002564D2"/>
    <w:rsid w:val="00270FED"/>
    <w:rsid w:val="00280940"/>
    <w:rsid w:val="002856A5"/>
    <w:rsid w:val="00297C4B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B57DF"/>
    <w:rsid w:val="003F3D29"/>
    <w:rsid w:val="003F70DA"/>
    <w:rsid w:val="004204C2"/>
    <w:rsid w:val="00434A7B"/>
    <w:rsid w:val="00473C0B"/>
    <w:rsid w:val="004A0D39"/>
    <w:rsid w:val="004A3914"/>
    <w:rsid w:val="004C38F5"/>
    <w:rsid w:val="00527868"/>
    <w:rsid w:val="0055245A"/>
    <w:rsid w:val="00586BCD"/>
    <w:rsid w:val="005871A8"/>
    <w:rsid w:val="0059738E"/>
    <w:rsid w:val="005B7EFE"/>
    <w:rsid w:val="005E73DD"/>
    <w:rsid w:val="00616703"/>
    <w:rsid w:val="00640587"/>
    <w:rsid w:val="0068297E"/>
    <w:rsid w:val="00697A37"/>
    <w:rsid w:val="006C6313"/>
    <w:rsid w:val="006E1409"/>
    <w:rsid w:val="006E18DF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25DB1"/>
    <w:rsid w:val="00851EA7"/>
    <w:rsid w:val="008722CC"/>
    <w:rsid w:val="0087406C"/>
    <w:rsid w:val="008B1E6D"/>
    <w:rsid w:val="008C734E"/>
    <w:rsid w:val="00945763"/>
    <w:rsid w:val="00953C17"/>
    <w:rsid w:val="00962076"/>
    <w:rsid w:val="00967A94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C072D0"/>
    <w:rsid w:val="00C35E08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993"/>
    <w:rsid w:val="00D56AEF"/>
    <w:rsid w:val="00D62B42"/>
    <w:rsid w:val="00D632C4"/>
    <w:rsid w:val="00DE7B26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ED54-FA74-4711-A761-DC74525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2021-10-19T07:50:00Z</cp:lastPrinted>
  <dcterms:created xsi:type="dcterms:W3CDTF">2021-11-02T06:06:00Z</dcterms:created>
  <dcterms:modified xsi:type="dcterms:W3CDTF">2021-11-02T06:06:00Z</dcterms:modified>
</cp:coreProperties>
</file>